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808A4" w14:textId="77777777" w:rsidR="00476C5F" w:rsidRPr="00E0264B" w:rsidRDefault="00476C5F" w:rsidP="00476C5F">
      <w:pPr>
        <w:tabs>
          <w:tab w:val="left" w:pos="3240"/>
          <w:tab w:val="left" w:pos="6840"/>
        </w:tabs>
        <w:contextualSpacing/>
        <w:jc w:val="center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 xml:space="preserve">KITTSON HEALTHCARE </w:t>
      </w:r>
    </w:p>
    <w:p w14:paraId="1DA07929" w14:textId="77777777" w:rsidR="00476C5F" w:rsidRPr="00E0264B" w:rsidRDefault="00476C5F" w:rsidP="00476C5F">
      <w:pPr>
        <w:tabs>
          <w:tab w:val="left" w:pos="3240"/>
          <w:tab w:val="left" w:pos="6840"/>
        </w:tabs>
        <w:contextualSpacing/>
        <w:jc w:val="center"/>
        <w:rPr>
          <w:rFonts w:ascii="Lucida Sans" w:hAnsi="Lucida Sans"/>
          <w:sz w:val="18"/>
          <w:szCs w:val="18"/>
        </w:rPr>
      </w:pPr>
      <w:r w:rsidRPr="00E0264B">
        <w:rPr>
          <w:rFonts w:ascii="Lucida Sans" w:hAnsi="Lucida Sans"/>
          <w:sz w:val="18"/>
          <w:szCs w:val="18"/>
        </w:rPr>
        <w:t>1010 SOUTH BIRCH, PO BOX 700</w:t>
      </w:r>
    </w:p>
    <w:p w14:paraId="3054DDDB" w14:textId="77777777" w:rsidR="00476C5F" w:rsidRDefault="00476C5F" w:rsidP="00476C5F">
      <w:pPr>
        <w:tabs>
          <w:tab w:val="left" w:pos="3240"/>
          <w:tab w:val="left" w:pos="6840"/>
        </w:tabs>
        <w:contextualSpacing/>
        <w:jc w:val="center"/>
        <w:rPr>
          <w:rFonts w:ascii="Lucida Sans" w:hAnsi="Lucida Sans"/>
          <w:sz w:val="18"/>
          <w:szCs w:val="18"/>
        </w:rPr>
      </w:pPr>
      <w:r w:rsidRPr="00E0264B">
        <w:rPr>
          <w:rFonts w:ascii="Lucida Sans" w:hAnsi="Lucida Sans"/>
          <w:sz w:val="18"/>
          <w:szCs w:val="18"/>
        </w:rPr>
        <w:t>HALLOCK, MN 56728</w:t>
      </w:r>
    </w:p>
    <w:p w14:paraId="42CFEABB" w14:textId="77777777" w:rsidR="00476C5F" w:rsidRPr="00E0264B" w:rsidRDefault="00476C5F" w:rsidP="00476C5F">
      <w:pPr>
        <w:tabs>
          <w:tab w:val="left" w:pos="3240"/>
          <w:tab w:val="left" w:pos="6840"/>
        </w:tabs>
        <w:contextualSpacing/>
        <w:jc w:val="center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www.kittsonhc.org</w:t>
      </w:r>
    </w:p>
    <w:p w14:paraId="3D6CEF69" w14:textId="77777777" w:rsidR="00476C5F" w:rsidRPr="00E0264B" w:rsidRDefault="00476C5F" w:rsidP="00476C5F">
      <w:pPr>
        <w:tabs>
          <w:tab w:val="left" w:pos="3240"/>
          <w:tab w:val="left" w:pos="6840"/>
        </w:tabs>
        <w:contextualSpacing/>
        <w:jc w:val="center"/>
        <w:rPr>
          <w:rFonts w:ascii="Lucida Sans" w:hAnsi="Lucida Sans"/>
          <w:sz w:val="18"/>
          <w:szCs w:val="18"/>
        </w:rPr>
      </w:pPr>
      <w:r w:rsidRPr="00E0264B">
        <w:rPr>
          <w:rFonts w:ascii="Lucida Sans" w:hAnsi="Lucida Sans"/>
          <w:sz w:val="18"/>
          <w:szCs w:val="18"/>
        </w:rPr>
        <w:t>PHONE:  218-843-3612</w:t>
      </w:r>
    </w:p>
    <w:p w14:paraId="17296311" w14:textId="77777777" w:rsidR="00476C5F" w:rsidRDefault="00476C5F" w:rsidP="00476C5F">
      <w:pPr>
        <w:tabs>
          <w:tab w:val="left" w:pos="3240"/>
          <w:tab w:val="left" w:pos="6840"/>
        </w:tabs>
        <w:contextualSpacing/>
        <w:jc w:val="center"/>
        <w:rPr>
          <w:rFonts w:ascii="Lucida Sans" w:hAnsi="Lucida Sans"/>
          <w:sz w:val="18"/>
          <w:szCs w:val="18"/>
        </w:rPr>
      </w:pPr>
      <w:r w:rsidRPr="00E0264B">
        <w:rPr>
          <w:rFonts w:ascii="Lucida Sans" w:hAnsi="Lucida Sans"/>
          <w:sz w:val="18"/>
          <w:szCs w:val="18"/>
        </w:rPr>
        <w:t>TOLL-FREE:  800-843-6016</w:t>
      </w:r>
    </w:p>
    <w:p w14:paraId="1E59463B" w14:textId="77777777" w:rsidR="00476C5F" w:rsidRDefault="00476C5F" w:rsidP="00083843">
      <w:pPr>
        <w:jc w:val="center"/>
        <w:rPr>
          <w:b/>
        </w:rPr>
      </w:pPr>
    </w:p>
    <w:p w14:paraId="0EA8BFB0" w14:textId="4EFB6B89" w:rsidR="003B2C75" w:rsidRPr="00083843" w:rsidRDefault="00226464" w:rsidP="00083843">
      <w:pPr>
        <w:jc w:val="center"/>
        <w:rPr>
          <w:b/>
        </w:rPr>
      </w:pPr>
      <w:r w:rsidRPr="00083843">
        <w:rPr>
          <w:b/>
        </w:rPr>
        <w:t>GETTING HELP PAYING YOUR BILL</w:t>
      </w:r>
      <w:r w:rsidR="009849BF" w:rsidRPr="00083843">
        <w:rPr>
          <w:b/>
        </w:rPr>
        <w:t>/FINANCIAL ASSISTANCE POLICY</w:t>
      </w:r>
    </w:p>
    <w:p w14:paraId="7ACE88D8" w14:textId="77777777" w:rsidR="009849BF" w:rsidRDefault="009849BF"/>
    <w:p w14:paraId="6064B25D" w14:textId="75A1D27B" w:rsidR="009849BF" w:rsidRDefault="009849BF">
      <w:r>
        <w:t xml:space="preserve">Kittson </w:t>
      </w:r>
      <w:r w:rsidR="00DA4263">
        <w:t>Healthcare</w:t>
      </w:r>
      <w:r>
        <w:t xml:space="preserve"> has a FINANCIAL ASSISTANCE POLICY</w:t>
      </w:r>
      <w:r w:rsidR="003B2C75">
        <w:t xml:space="preserve"> (FAP</w:t>
      </w:r>
      <w:r w:rsidR="000C4599">
        <w:t>) where</w:t>
      </w:r>
      <w:r>
        <w:t xml:space="preserve"> emergency and other medically necessary services may be fo</w:t>
      </w:r>
      <w:r w:rsidR="00083843">
        <w:t xml:space="preserve">rgiven based upon financial needs.  You can find the policy, application and a summary on Kittson </w:t>
      </w:r>
      <w:r w:rsidR="00DA4263">
        <w:t>Healthcare’</w:t>
      </w:r>
      <w:r w:rsidR="00083843">
        <w:t xml:space="preserve">s </w:t>
      </w:r>
      <w:r w:rsidR="007461F8">
        <w:t xml:space="preserve">website </w:t>
      </w:r>
      <w:hyperlink r:id="rId5" w:history="1">
        <w:r w:rsidR="00DA4263" w:rsidRPr="00DE68DC">
          <w:rPr>
            <w:rStyle w:val="Hyperlink"/>
          </w:rPr>
          <w:t>www.kittsonhc.org</w:t>
        </w:r>
      </w:hyperlink>
      <w:r w:rsidR="00083843">
        <w:t xml:space="preserve"> under the </w:t>
      </w:r>
      <w:r w:rsidR="00DA4263">
        <w:t>PREPARE FOR YOUR NEXT VISIT</w:t>
      </w:r>
      <w:r w:rsidR="00083843">
        <w:t xml:space="preserve"> tab.</w:t>
      </w:r>
    </w:p>
    <w:p w14:paraId="121B8935" w14:textId="77777777" w:rsidR="00083843" w:rsidRDefault="00083843"/>
    <w:p w14:paraId="456B6D8D" w14:textId="201BD3E4" w:rsidR="00083843" w:rsidRDefault="00083843">
      <w:r>
        <w:t xml:space="preserve">You are responsible for taking part in the program by timely submitting the application.  You can inquire or apply by mail, or over the phone by call Patient Financial Services </w:t>
      </w:r>
      <w:r w:rsidR="007461F8">
        <w:t xml:space="preserve">at-1-800-843-6016 or </w:t>
      </w:r>
      <w:r w:rsidR="00F763B9">
        <w:t>218-</w:t>
      </w:r>
      <w:r w:rsidR="007461F8">
        <w:t>843-3612</w:t>
      </w:r>
      <w:r w:rsidR="00093ED2">
        <w:t xml:space="preserve"> or downloading the information on Kittson </w:t>
      </w:r>
      <w:r w:rsidR="00DA4263">
        <w:t>Healthcare</w:t>
      </w:r>
      <w:r w:rsidR="00093ED2">
        <w:t xml:space="preserve">’s </w:t>
      </w:r>
      <w:r w:rsidR="008415FC">
        <w:t>website or you can pick up an application in person at our registration areas.</w:t>
      </w:r>
    </w:p>
    <w:p w14:paraId="45569603" w14:textId="77777777" w:rsidR="008415FC" w:rsidRDefault="008415FC"/>
    <w:p w14:paraId="25C5B820" w14:textId="0F6FA50F" w:rsidR="008415FC" w:rsidRDefault="008415FC">
      <w:r>
        <w:t>Bills that are not paid within 120 days after the first billing statement MAY be listed with a collection agency.  You or your guarantor can apply for help with your bill at any time during the collection process by letting</w:t>
      </w:r>
      <w:r w:rsidR="00B71460">
        <w:t xml:space="preserve"> Kittson </w:t>
      </w:r>
      <w:r w:rsidR="00F763B9">
        <w:t xml:space="preserve">Healthcare </w:t>
      </w:r>
      <w:r w:rsidR="00B71460">
        <w:t>or the collection agency know and completing the application.</w:t>
      </w:r>
    </w:p>
    <w:p w14:paraId="2D355E98" w14:textId="77777777" w:rsidR="00B71460" w:rsidRDefault="00B71460"/>
    <w:p w14:paraId="737AC52F" w14:textId="77777777" w:rsidR="00B71460" w:rsidRDefault="00B71460"/>
    <w:p w14:paraId="47EB7F5B" w14:textId="77777777" w:rsidR="00B71460" w:rsidRDefault="00B71460"/>
    <w:p w14:paraId="30819376" w14:textId="77777777" w:rsidR="00B71460" w:rsidRDefault="00B71460" w:rsidP="00B71460">
      <w:pPr>
        <w:jc w:val="center"/>
        <w:rPr>
          <w:b/>
        </w:rPr>
      </w:pPr>
      <w:r w:rsidRPr="00B71460">
        <w:rPr>
          <w:b/>
        </w:rPr>
        <w:t>INSURANCE/WORKERS COMPENSATION/MOTOR VEHICLE/LIABILITY</w:t>
      </w:r>
    </w:p>
    <w:p w14:paraId="7602E1B1" w14:textId="77777777" w:rsidR="00B71460" w:rsidRDefault="00B71460" w:rsidP="00B71460">
      <w:pPr>
        <w:jc w:val="center"/>
        <w:rPr>
          <w:b/>
        </w:rPr>
      </w:pPr>
    </w:p>
    <w:p w14:paraId="67993C9C" w14:textId="62F881AD" w:rsidR="00B71460" w:rsidRDefault="00B71460" w:rsidP="00B71460">
      <w:r>
        <w:t>Even though you may have insurance, you, as the patient/guarantor are primarily responsible for payment of this bill.  Kittson</w:t>
      </w:r>
      <w:r w:rsidR="00DA4263">
        <w:t xml:space="preserve"> Healthcare</w:t>
      </w:r>
      <w:r>
        <w:t xml:space="preserve"> will bill your insurance company if </w:t>
      </w:r>
      <w:r w:rsidR="00F763B9">
        <w:t>t</w:t>
      </w:r>
      <w:r>
        <w:t>he proper information</w:t>
      </w:r>
      <w:r w:rsidR="00F763B9">
        <w:t xml:space="preserve"> has been provided</w:t>
      </w:r>
      <w:r>
        <w:t>.  However, Kittson Memorial does not accept responsibility for collecting your insurance claim or negotiating a settlement on a disputed claim.</w:t>
      </w:r>
    </w:p>
    <w:p w14:paraId="7CB70981" w14:textId="77777777" w:rsidR="00B71460" w:rsidRDefault="00B71460" w:rsidP="00B71460"/>
    <w:p w14:paraId="14F49C17" w14:textId="7293AE2D" w:rsidR="00B71460" w:rsidRDefault="00B71460" w:rsidP="00B71460">
      <w:r>
        <w:t xml:space="preserve">It is your responsibility to provide us with insurance information, worker’s compensation information or motor vehicle/liability information.  It is your </w:t>
      </w:r>
      <w:r w:rsidR="007461F8">
        <w:t>responsibility to</w:t>
      </w:r>
      <w:r>
        <w:t xml:space="preserve"> submit worker’s compensation information to your employer for services provided as a result of a work related injury.  If this is a m</w:t>
      </w:r>
      <w:r w:rsidR="00662AE2">
        <w:t>o</w:t>
      </w:r>
      <w:r>
        <w:t>tor vehicle or liability claim</w:t>
      </w:r>
      <w:r w:rsidR="00F763B9">
        <w:t>,</w:t>
      </w:r>
      <w:r>
        <w:t xml:space="preserve"> it is also your responsibility to submit </w:t>
      </w:r>
      <w:r w:rsidR="00662AE2">
        <w:t>claims to the responsible party.</w:t>
      </w:r>
    </w:p>
    <w:p w14:paraId="0714EC82" w14:textId="77777777" w:rsidR="00662AE2" w:rsidRDefault="00662AE2" w:rsidP="00B71460"/>
    <w:p w14:paraId="48C1FC03" w14:textId="77777777" w:rsidR="00662AE2" w:rsidRDefault="00662AE2" w:rsidP="00662AE2">
      <w:pPr>
        <w:jc w:val="center"/>
      </w:pPr>
      <w:r>
        <w:t>Patient Financial Services Business Hours:</w:t>
      </w:r>
    </w:p>
    <w:p w14:paraId="54EDCF30" w14:textId="77777777" w:rsidR="00662AE2" w:rsidRDefault="00662AE2" w:rsidP="00662AE2">
      <w:pPr>
        <w:jc w:val="center"/>
      </w:pPr>
      <w:r>
        <w:t>Monday-Friday 7:30 a.m.-5:00 p.m.</w:t>
      </w:r>
    </w:p>
    <w:p w14:paraId="423244F2" w14:textId="77777777" w:rsidR="00662AE2" w:rsidRDefault="00662AE2" w:rsidP="00662AE2"/>
    <w:p w14:paraId="1D8BCFF5" w14:textId="2500A334" w:rsidR="00662AE2" w:rsidRDefault="00662AE2" w:rsidP="00662AE2">
      <w:pPr>
        <w:jc w:val="center"/>
        <w:rPr>
          <w:b/>
        </w:rPr>
      </w:pPr>
      <w:r w:rsidRPr="00662AE2">
        <w:rPr>
          <w:b/>
        </w:rPr>
        <w:t xml:space="preserve">KITTSON </w:t>
      </w:r>
      <w:r w:rsidR="00DA4263">
        <w:rPr>
          <w:b/>
        </w:rPr>
        <w:t>HEALTHCARE</w:t>
      </w:r>
      <w:r w:rsidRPr="00662AE2">
        <w:rPr>
          <w:b/>
        </w:rPr>
        <w:t xml:space="preserve"> CREDIT POLICY</w:t>
      </w:r>
    </w:p>
    <w:p w14:paraId="17B5ADE4" w14:textId="77777777" w:rsidR="00662AE2" w:rsidRDefault="00662AE2" w:rsidP="00662AE2">
      <w:pPr>
        <w:jc w:val="center"/>
        <w:rPr>
          <w:b/>
        </w:rPr>
      </w:pPr>
    </w:p>
    <w:p w14:paraId="253CFB51" w14:textId="77777777" w:rsidR="00DC04D2" w:rsidRDefault="00DC04D2" w:rsidP="00DC04D2">
      <w:pPr>
        <w:spacing w:after="160" w:line="259" w:lineRule="auto"/>
        <w:contextualSpacing/>
      </w:pPr>
      <w:r w:rsidRPr="006D20A0">
        <w:t>Time Pay Plans – Payment plans are negotiated to pay the account balance in full within a reasonable amount of time. Except in unusual circumstances, payment plans will be approved based on the following guidelines.</w:t>
      </w:r>
      <w:r>
        <w:t xml:space="preserve"> These plans do not accrue interest.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42"/>
        <w:gridCol w:w="2936"/>
        <w:gridCol w:w="2932"/>
      </w:tblGrid>
      <w:tr w:rsidR="00DC04D2" w14:paraId="3302029B" w14:textId="77777777" w:rsidTr="00CF21D5">
        <w:tc>
          <w:tcPr>
            <w:tcW w:w="2042" w:type="dxa"/>
          </w:tcPr>
          <w:p w14:paraId="2F821E1B" w14:textId="77777777" w:rsidR="00DC04D2" w:rsidRPr="003A4F6E" w:rsidRDefault="00DC04D2" w:rsidP="0081206D">
            <w:pPr>
              <w:spacing w:after="160" w:line="259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Patient Liability Balance</w:t>
            </w:r>
          </w:p>
        </w:tc>
        <w:tc>
          <w:tcPr>
            <w:tcW w:w="2936" w:type="dxa"/>
          </w:tcPr>
          <w:p w14:paraId="2DC9B6D2" w14:textId="77777777" w:rsidR="00DC04D2" w:rsidRPr="003A4F6E" w:rsidRDefault="00DC04D2" w:rsidP="0081206D">
            <w:pPr>
              <w:spacing w:after="160" w:line="259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Maximum Repayment Term (in months)</w:t>
            </w:r>
          </w:p>
        </w:tc>
        <w:tc>
          <w:tcPr>
            <w:tcW w:w="2932" w:type="dxa"/>
          </w:tcPr>
          <w:p w14:paraId="2E7754EE" w14:textId="77777777" w:rsidR="00DC04D2" w:rsidRPr="003A4F6E" w:rsidRDefault="00DC04D2" w:rsidP="0081206D">
            <w:pPr>
              <w:spacing w:after="160" w:line="259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Minimum Monthly Payment</w:t>
            </w:r>
          </w:p>
        </w:tc>
      </w:tr>
      <w:tr w:rsidR="00DC04D2" w14:paraId="06B70064" w14:textId="77777777" w:rsidTr="00CF21D5">
        <w:tc>
          <w:tcPr>
            <w:tcW w:w="2042" w:type="dxa"/>
          </w:tcPr>
          <w:p w14:paraId="6F2ACD79" w14:textId="77777777" w:rsidR="00DC04D2" w:rsidRDefault="00DC04D2" w:rsidP="0081206D">
            <w:pPr>
              <w:spacing w:after="160" w:line="259" w:lineRule="auto"/>
              <w:contextualSpacing/>
            </w:pPr>
            <w:r>
              <w:lastRenderedPageBreak/>
              <w:t>$50 or less</w:t>
            </w:r>
          </w:p>
        </w:tc>
        <w:tc>
          <w:tcPr>
            <w:tcW w:w="2936" w:type="dxa"/>
          </w:tcPr>
          <w:p w14:paraId="58197AA4" w14:textId="77777777" w:rsidR="00DC04D2" w:rsidRDefault="00DC04D2" w:rsidP="0081206D">
            <w:pPr>
              <w:spacing w:after="160" w:line="259" w:lineRule="auto"/>
              <w:contextualSpacing/>
            </w:pPr>
            <w:r>
              <w:t>Pay in full within 30 days</w:t>
            </w:r>
          </w:p>
        </w:tc>
        <w:tc>
          <w:tcPr>
            <w:tcW w:w="2932" w:type="dxa"/>
          </w:tcPr>
          <w:p w14:paraId="6482BDC4" w14:textId="77777777" w:rsidR="00DC04D2" w:rsidRDefault="00DC04D2" w:rsidP="0081206D">
            <w:pPr>
              <w:spacing w:after="160" w:line="259" w:lineRule="auto"/>
              <w:contextualSpacing/>
            </w:pPr>
            <w:r>
              <w:t>Payment in full within 30 days</w:t>
            </w:r>
          </w:p>
        </w:tc>
      </w:tr>
      <w:tr w:rsidR="00DC04D2" w14:paraId="7BE9FF31" w14:textId="77777777" w:rsidTr="00CF21D5">
        <w:tc>
          <w:tcPr>
            <w:tcW w:w="2042" w:type="dxa"/>
          </w:tcPr>
          <w:p w14:paraId="3596BD4B" w14:textId="77777777" w:rsidR="00DC04D2" w:rsidRDefault="00DC04D2" w:rsidP="0081206D">
            <w:pPr>
              <w:spacing w:after="160" w:line="259" w:lineRule="auto"/>
              <w:contextualSpacing/>
            </w:pPr>
            <w:r>
              <w:t>$51-$100</w:t>
            </w:r>
          </w:p>
        </w:tc>
        <w:tc>
          <w:tcPr>
            <w:tcW w:w="2936" w:type="dxa"/>
          </w:tcPr>
          <w:p w14:paraId="72E8AC3A" w14:textId="77777777" w:rsidR="00DC04D2" w:rsidRDefault="00DC04D2" w:rsidP="0081206D">
            <w:pPr>
              <w:spacing w:after="160" w:line="259" w:lineRule="auto"/>
              <w:contextualSpacing/>
            </w:pPr>
            <w:r>
              <w:t>2</w:t>
            </w:r>
          </w:p>
        </w:tc>
        <w:tc>
          <w:tcPr>
            <w:tcW w:w="2932" w:type="dxa"/>
          </w:tcPr>
          <w:p w14:paraId="63241FEF" w14:textId="77777777" w:rsidR="00DC04D2" w:rsidRDefault="00DC04D2" w:rsidP="0081206D">
            <w:pPr>
              <w:spacing w:after="160" w:line="259" w:lineRule="auto"/>
              <w:contextualSpacing/>
            </w:pPr>
            <w:r>
              <w:t>$40</w:t>
            </w:r>
          </w:p>
        </w:tc>
      </w:tr>
      <w:tr w:rsidR="00DC04D2" w14:paraId="723398D4" w14:textId="77777777" w:rsidTr="00CF21D5">
        <w:tc>
          <w:tcPr>
            <w:tcW w:w="2042" w:type="dxa"/>
          </w:tcPr>
          <w:p w14:paraId="5AF0062B" w14:textId="77777777" w:rsidR="00DC04D2" w:rsidRDefault="00DC04D2" w:rsidP="0081206D">
            <w:pPr>
              <w:spacing w:after="160" w:line="259" w:lineRule="auto"/>
              <w:contextualSpacing/>
            </w:pPr>
            <w:r>
              <w:t>$101-$300</w:t>
            </w:r>
          </w:p>
        </w:tc>
        <w:tc>
          <w:tcPr>
            <w:tcW w:w="2936" w:type="dxa"/>
          </w:tcPr>
          <w:p w14:paraId="452973C4" w14:textId="77777777" w:rsidR="00DC04D2" w:rsidRDefault="00DC04D2" w:rsidP="0081206D">
            <w:pPr>
              <w:spacing w:after="160" w:line="259" w:lineRule="auto"/>
              <w:contextualSpacing/>
            </w:pPr>
            <w:r>
              <w:t>3</w:t>
            </w:r>
          </w:p>
        </w:tc>
        <w:tc>
          <w:tcPr>
            <w:tcW w:w="2932" w:type="dxa"/>
          </w:tcPr>
          <w:p w14:paraId="624AFF5E" w14:textId="77777777" w:rsidR="00DC04D2" w:rsidRDefault="00DC04D2" w:rsidP="0081206D">
            <w:pPr>
              <w:spacing w:after="160" w:line="259" w:lineRule="auto"/>
              <w:contextualSpacing/>
            </w:pPr>
            <w:r>
              <w:t>$55</w:t>
            </w:r>
          </w:p>
        </w:tc>
      </w:tr>
      <w:tr w:rsidR="00DC04D2" w14:paraId="37B4B908" w14:textId="77777777" w:rsidTr="00CF21D5">
        <w:tc>
          <w:tcPr>
            <w:tcW w:w="2042" w:type="dxa"/>
          </w:tcPr>
          <w:p w14:paraId="407AFB7F" w14:textId="77777777" w:rsidR="00DC04D2" w:rsidRDefault="00DC04D2" w:rsidP="0081206D">
            <w:pPr>
              <w:spacing w:after="160" w:line="259" w:lineRule="auto"/>
              <w:contextualSpacing/>
            </w:pPr>
            <w:r>
              <w:t>$301-$600</w:t>
            </w:r>
          </w:p>
        </w:tc>
        <w:tc>
          <w:tcPr>
            <w:tcW w:w="2936" w:type="dxa"/>
          </w:tcPr>
          <w:p w14:paraId="490F01FD" w14:textId="77777777" w:rsidR="00DC04D2" w:rsidRDefault="00DC04D2" w:rsidP="0081206D">
            <w:pPr>
              <w:spacing w:after="160" w:line="259" w:lineRule="auto"/>
              <w:contextualSpacing/>
            </w:pPr>
            <w:r>
              <w:t>6</w:t>
            </w:r>
          </w:p>
        </w:tc>
        <w:tc>
          <w:tcPr>
            <w:tcW w:w="2932" w:type="dxa"/>
          </w:tcPr>
          <w:p w14:paraId="5FCC325B" w14:textId="77777777" w:rsidR="00DC04D2" w:rsidRDefault="00DC04D2" w:rsidP="0081206D">
            <w:pPr>
              <w:spacing w:after="160" w:line="259" w:lineRule="auto"/>
              <w:contextualSpacing/>
            </w:pPr>
            <w:r>
              <w:t>$75</w:t>
            </w:r>
          </w:p>
        </w:tc>
      </w:tr>
      <w:tr w:rsidR="00DC04D2" w14:paraId="6DC2B1C4" w14:textId="77777777" w:rsidTr="00CF21D5">
        <w:tc>
          <w:tcPr>
            <w:tcW w:w="2042" w:type="dxa"/>
          </w:tcPr>
          <w:p w14:paraId="2B2B37EE" w14:textId="77777777" w:rsidR="00DC04D2" w:rsidRDefault="00DC04D2" w:rsidP="0081206D">
            <w:pPr>
              <w:spacing w:after="160" w:line="259" w:lineRule="auto"/>
              <w:contextualSpacing/>
            </w:pPr>
            <w:r>
              <w:t>$601-$1,000</w:t>
            </w:r>
          </w:p>
        </w:tc>
        <w:tc>
          <w:tcPr>
            <w:tcW w:w="2936" w:type="dxa"/>
          </w:tcPr>
          <w:p w14:paraId="340D7F00" w14:textId="77777777" w:rsidR="00DC04D2" w:rsidRDefault="00DC04D2" w:rsidP="0081206D">
            <w:pPr>
              <w:spacing w:after="160" w:line="259" w:lineRule="auto"/>
              <w:contextualSpacing/>
            </w:pPr>
            <w:r>
              <w:t>9</w:t>
            </w:r>
          </w:p>
        </w:tc>
        <w:tc>
          <w:tcPr>
            <w:tcW w:w="2932" w:type="dxa"/>
          </w:tcPr>
          <w:p w14:paraId="04CDFF2A" w14:textId="77777777" w:rsidR="00DC04D2" w:rsidRDefault="00DC04D2" w:rsidP="0081206D">
            <w:pPr>
              <w:spacing w:after="160" w:line="259" w:lineRule="auto"/>
              <w:contextualSpacing/>
            </w:pPr>
            <w:r>
              <w:t>$100</w:t>
            </w:r>
          </w:p>
        </w:tc>
      </w:tr>
      <w:tr w:rsidR="00DC04D2" w14:paraId="4B410626" w14:textId="77777777" w:rsidTr="00CF21D5">
        <w:tc>
          <w:tcPr>
            <w:tcW w:w="2042" w:type="dxa"/>
          </w:tcPr>
          <w:p w14:paraId="612A9F4B" w14:textId="77777777" w:rsidR="00DC04D2" w:rsidRDefault="00DC04D2" w:rsidP="0081206D">
            <w:pPr>
              <w:spacing w:after="160" w:line="259" w:lineRule="auto"/>
              <w:contextualSpacing/>
            </w:pPr>
            <w:r>
              <w:t>$1,001-$3,000</w:t>
            </w:r>
          </w:p>
        </w:tc>
        <w:tc>
          <w:tcPr>
            <w:tcW w:w="2936" w:type="dxa"/>
          </w:tcPr>
          <w:p w14:paraId="3B2DDA16" w14:textId="77777777" w:rsidR="00DC04D2" w:rsidRDefault="00DC04D2" w:rsidP="0081206D">
            <w:pPr>
              <w:spacing w:after="160" w:line="259" w:lineRule="auto"/>
              <w:contextualSpacing/>
            </w:pPr>
            <w:r>
              <w:t>12</w:t>
            </w:r>
          </w:p>
        </w:tc>
        <w:tc>
          <w:tcPr>
            <w:tcW w:w="2932" w:type="dxa"/>
          </w:tcPr>
          <w:p w14:paraId="69144FA9" w14:textId="77777777" w:rsidR="00DC04D2" w:rsidRDefault="00DC04D2" w:rsidP="0081206D">
            <w:pPr>
              <w:spacing w:after="160" w:line="259" w:lineRule="auto"/>
              <w:contextualSpacing/>
            </w:pPr>
            <w:r>
              <w:t>$125</w:t>
            </w:r>
          </w:p>
        </w:tc>
      </w:tr>
      <w:tr w:rsidR="00DC04D2" w14:paraId="09ED3466" w14:textId="77777777" w:rsidTr="00CF21D5">
        <w:tc>
          <w:tcPr>
            <w:tcW w:w="2042" w:type="dxa"/>
          </w:tcPr>
          <w:p w14:paraId="1895AE08" w14:textId="77777777" w:rsidR="00DC04D2" w:rsidRDefault="00DC04D2" w:rsidP="0081206D">
            <w:pPr>
              <w:spacing w:after="160" w:line="259" w:lineRule="auto"/>
              <w:contextualSpacing/>
            </w:pPr>
            <w:r>
              <w:t>$3,001-$6,000</w:t>
            </w:r>
          </w:p>
        </w:tc>
        <w:tc>
          <w:tcPr>
            <w:tcW w:w="2936" w:type="dxa"/>
          </w:tcPr>
          <w:p w14:paraId="414234A9" w14:textId="77777777" w:rsidR="00DC04D2" w:rsidRDefault="00DC04D2" w:rsidP="0081206D">
            <w:pPr>
              <w:spacing w:after="160" w:line="259" w:lineRule="auto"/>
              <w:contextualSpacing/>
            </w:pPr>
            <w:r>
              <w:t>18</w:t>
            </w:r>
          </w:p>
        </w:tc>
        <w:tc>
          <w:tcPr>
            <w:tcW w:w="2932" w:type="dxa"/>
          </w:tcPr>
          <w:p w14:paraId="23EB0360" w14:textId="77777777" w:rsidR="00DC04D2" w:rsidRDefault="00DC04D2" w:rsidP="0081206D">
            <w:pPr>
              <w:spacing w:after="160" w:line="259" w:lineRule="auto"/>
              <w:contextualSpacing/>
            </w:pPr>
            <w:r>
              <w:t>$175</w:t>
            </w:r>
          </w:p>
        </w:tc>
      </w:tr>
      <w:tr w:rsidR="00DC04D2" w14:paraId="5F877FBB" w14:textId="77777777" w:rsidTr="00CF21D5">
        <w:tc>
          <w:tcPr>
            <w:tcW w:w="2042" w:type="dxa"/>
          </w:tcPr>
          <w:p w14:paraId="6BFFDB35" w14:textId="77777777" w:rsidR="00DC04D2" w:rsidRDefault="00DC04D2" w:rsidP="0081206D">
            <w:pPr>
              <w:spacing w:after="160" w:line="259" w:lineRule="auto"/>
              <w:contextualSpacing/>
            </w:pPr>
            <w:r>
              <w:t>Over $6,000</w:t>
            </w:r>
          </w:p>
        </w:tc>
        <w:tc>
          <w:tcPr>
            <w:tcW w:w="2936" w:type="dxa"/>
          </w:tcPr>
          <w:p w14:paraId="51897C42" w14:textId="77777777" w:rsidR="00DC04D2" w:rsidRDefault="00DC04D2" w:rsidP="0081206D">
            <w:pPr>
              <w:spacing w:after="160" w:line="259" w:lineRule="auto"/>
              <w:contextualSpacing/>
            </w:pPr>
            <w:r>
              <w:t>24</w:t>
            </w:r>
          </w:p>
        </w:tc>
        <w:tc>
          <w:tcPr>
            <w:tcW w:w="2932" w:type="dxa"/>
          </w:tcPr>
          <w:p w14:paraId="2270E17F" w14:textId="77777777" w:rsidR="00DC04D2" w:rsidRDefault="00DC04D2" w:rsidP="0081206D">
            <w:pPr>
              <w:spacing w:after="160" w:line="259" w:lineRule="auto"/>
              <w:contextualSpacing/>
            </w:pPr>
            <w:r>
              <w:t>$250</w:t>
            </w:r>
          </w:p>
        </w:tc>
      </w:tr>
    </w:tbl>
    <w:p w14:paraId="6C3C046B" w14:textId="77777777" w:rsidR="00DC04D2" w:rsidRPr="006D20A0" w:rsidRDefault="00DC04D2" w:rsidP="00DC04D2">
      <w:pPr>
        <w:spacing w:after="160" w:line="259" w:lineRule="auto"/>
      </w:pPr>
    </w:p>
    <w:p w14:paraId="558274C1" w14:textId="72A44DF4" w:rsidR="00DC04D2" w:rsidRDefault="00DC04D2" w:rsidP="00CF21D5">
      <w:pPr>
        <w:spacing w:after="160" w:line="259" w:lineRule="auto"/>
      </w:pPr>
      <w:r w:rsidRPr="006D20A0">
        <w:t xml:space="preserve">Payments are due every 30-days. At the end of the 30-days without a payment, a reminder notice is sent with a demand for the previous month’s payment and the current month’s payment. If no payment is received within 60-days, the account reverts to a standard balance due in full and the account reverts to the standard collection method. </w:t>
      </w:r>
    </w:p>
    <w:p w14:paraId="244F87AC" w14:textId="1A14990B" w:rsidR="00C200D3" w:rsidRDefault="00C200D3" w:rsidP="00DC04D2">
      <w:pPr>
        <w:spacing w:after="160" w:line="259" w:lineRule="auto"/>
        <w:ind w:left="1440"/>
      </w:pPr>
    </w:p>
    <w:p w14:paraId="695B6AB8" w14:textId="77777777" w:rsidR="00C200D3" w:rsidRPr="006D20A0" w:rsidRDefault="00C200D3" w:rsidP="00C200D3">
      <w:pPr>
        <w:spacing w:after="160" w:line="259" w:lineRule="auto"/>
        <w:contextualSpacing/>
      </w:pPr>
      <w:r w:rsidRPr="006D20A0">
        <w:t xml:space="preserve">Prompt Pay Discounts – Kittson Healthcare offers a 10% prompt pay discount when </w:t>
      </w:r>
      <w:r>
        <w:t xml:space="preserve">the entire self-pay balance </w:t>
      </w:r>
      <w:r w:rsidRPr="006D20A0">
        <w:t xml:space="preserve">payment is received within the first 30-days of the billing cycle. Prompt Pay Discounts will be given to patients who are uninsured. </w:t>
      </w:r>
    </w:p>
    <w:p w14:paraId="23400062" w14:textId="77777777" w:rsidR="00C200D3" w:rsidRPr="006D20A0" w:rsidRDefault="00C200D3" w:rsidP="00DC04D2">
      <w:pPr>
        <w:spacing w:after="160" w:line="259" w:lineRule="auto"/>
        <w:ind w:left="1440"/>
      </w:pPr>
    </w:p>
    <w:p w14:paraId="126B0369" w14:textId="6C64F63F" w:rsidR="00F86AB3" w:rsidRDefault="007461F8" w:rsidP="00662AE2">
      <w:r>
        <w:t xml:space="preserve">To receive </w:t>
      </w:r>
      <w:r w:rsidR="00C200D3">
        <w:t>more information regarding the above policies</w:t>
      </w:r>
      <w:r>
        <w:t xml:space="preserve">, please contact Patient Financial Services at   1-800-843-6016 or </w:t>
      </w:r>
      <w:r w:rsidR="00F763B9">
        <w:t>218-</w:t>
      </w:r>
      <w:r>
        <w:t>843-3612.</w:t>
      </w:r>
    </w:p>
    <w:p w14:paraId="7847C8CB" w14:textId="74EF01F6" w:rsidR="00F763B9" w:rsidRDefault="00F763B9" w:rsidP="00662AE2"/>
    <w:p w14:paraId="102B4211" w14:textId="76B1F09E" w:rsidR="00F763B9" w:rsidRPr="00F86AB3" w:rsidRDefault="00026083" w:rsidP="00662AE2">
      <w:r>
        <w:t>Updated 8/19/2024</w:t>
      </w:r>
      <w:bookmarkStart w:id="0" w:name="_GoBack"/>
      <w:bookmarkEnd w:id="0"/>
    </w:p>
    <w:sectPr w:rsidR="00F763B9" w:rsidRPr="00F86AB3" w:rsidSect="0088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D54D6"/>
    <w:multiLevelType w:val="hybridMultilevel"/>
    <w:tmpl w:val="E0BC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64"/>
    <w:rsid w:val="00026083"/>
    <w:rsid w:val="00083843"/>
    <w:rsid w:val="00093ED2"/>
    <w:rsid w:val="000C4599"/>
    <w:rsid w:val="001B310C"/>
    <w:rsid w:val="00226464"/>
    <w:rsid w:val="003607B5"/>
    <w:rsid w:val="003B2C75"/>
    <w:rsid w:val="00476C5F"/>
    <w:rsid w:val="005E07DE"/>
    <w:rsid w:val="00662AE2"/>
    <w:rsid w:val="007461F8"/>
    <w:rsid w:val="008415FC"/>
    <w:rsid w:val="0088756A"/>
    <w:rsid w:val="009450B9"/>
    <w:rsid w:val="009849BF"/>
    <w:rsid w:val="00A20959"/>
    <w:rsid w:val="00B71460"/>
    <w:rsid w:val="00C02D88"/>
    <w:rsid w:val="00C200D3"/>
    <w:rsid w:val="00CF21D5"/>
    <w:rsid w:val="00D221F1"/>
    <w:rsid w:val="00DA4263"/>
    <w:rsid w:val="00DC04D2"/>
    <w:rsid w:val="00E66531"/>
    <w:rsid w:val="00E7227D"/>
    <w:rsid w:val="00F720CA"/>
    <w:rsid w:val="00F763B9"/>
    <w:rsid w:val="00F86AB3"/>
    <w:rsid w:val="00FA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A5062"/>
  <w15:docId w15:val="{5FD2ADC5-17B2-492C-A2B7-8E376153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8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F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42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0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ttsonh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Klegstad,Kim</dc:creator>
  <cp:lastModifiedBy>Kuznia,Michelle</cp:lastModifiedBy>
  <cp:revision>8</cp:revision>
  <cp:lastPrinted>2016-08-17T19:51:00Z</cp:lastPrinted>
  <dcterms:created xsi:type="dcterms:W3CDTF">2021-03-04T19:04:00Z</dcterms:created>
  <dcterms:modified xsi:type="dcterms:W3CDTF">2024-08-19T17:37:00Z</dcterms:modified>
</cp:coreProperties>
</file>